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1D116" w14:textId="0BAE8192" w:rsidR="00732723" w:rsidRPr="006F3CC1" w:rsidRDefault="00732723" w:rsidP="00732723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As injeções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-vítreas de medicamentos são uma opção para o tratamento de diversas doenças da retina, com tratamento localizado e concentrado diretamente na </w:t>
      </w:r>
      <w:r w:rsidR="006F3CC1">
        <w:rPr>
          <w:rFonts w:ascii="Arial" w:hAnsi="Arial" w:cs="Arial"/>
          <w:sz w:val="28"/>
          <w:szCs w:val="28"/>
        </w:rPr>
        <w:t>área patológica</w:t>
      </w:r>
      <w:r w:rsidRPr="006F3CC1">
        <w:rPr>
          <w:rFonts w:ascii="Arial" w:hAnsi="Arial" w:cs="Arial"/>
          <w:sz w:val="28"/>
          <w:szCs w:val="28"/>
        </w:rPr>
        <w:t>.</w:t>
      </w:r>
    </w:p>
    <w:p w14:paraId="685F2B08" w14:textId="77777777" w:rsidR="00732723" w:rsidRPr="006F3CC1" w:rsidRDefault="00732723" w:rsidP="00732723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2602BD6E" w14:textId="77777777" w:rsidR="00732723" w:rsidRPr="006F3CC1" w:rsidRDefault="00732723" w:rsidP="00732723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MEDICAMENTOS ANTI-ANGIOGÉNICOS (ANTI-VEGF)</w:t>
      </w:r>
    </w:p>
    <w:p w14:paraId="5229F189" w14:textId="77777777" w:rsidR="00732723" w:rsidRPr="006F3CC1" w:rsidRDefault="00732723" w:rsidP="00732723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O uso destes medicamentos revolucionou a Oftalmologia nos últimos 10 anos. O seu mecanismo de ação baseia-se no bloqueio da molécula </w:t>
      </w:r>
      <w:r w:rsidRPr="006F3CC1">
        <w:rPr>
          <w:rFonts w:ascii="Arial" w:hAnsi="Arial" w:cs="Arial"/>
          <w:b/>
          <w:sz w:val="28"/>
          <w:szCs w:val="28"/>
        </w:rPr>
        <w:t>VEGF-A</w:t>
      </w:r>
      <w:r w:rsidRPr="006F3CC1">
        <w:rPr>
          <w:rFonts w:ascii="Arial" w:hAnsi="Arial" w:cs="Arial"/>
          <w:sz w:val="28"/>
          <w:szCs w:val="28"/>
        </w:rPr>
        <w:t xml:space="preserve"> (Fator de Crescimento Endotelial Vascular do tipo A). </w:t>
      </w:r>
    </w:p>
    <w:p w14:paraId="2E240709" w14:textId="77777777" w:rsidR="00732723" w:rsidRPr="006F3CC1" w:rsidRDefault="00732723" w:rsidP="00732723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Os medicamentos mais usados são o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Avastin</w:t>
      </w:r>
      <w:proofErr w:type="spellEnd"/>
      <w:r w:rsidRPr="006F3CC1">
        <w:rPr>
          <w:rFonts w:ascii="Arial" w:hAnsi="Arial" w:cs="Arial"/>
          <w:b/>
          <w:color w:val="000000"/>
          <w:sz w:val="28"/>
          <w:szCs w:val="28"/>
        </w:rPr>
        <w:t>®</w:t>
      </w:r>
      <w:r w:rsidRPr="006F3CC1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6F3CC1">
        <w:rPr>
          <w:rFonts w:ascii="Arial" w:hAnsi="Arial" w:cs="Arial"/>
          <w:sz w:val="28"/>
          <w:szCs w:val="28"/>
        </w:rPr>
        <w:t>Bevacizumab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), o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Lucentis</w:t>
      </w:r>
      <w:proofErr w:type="spellEnd"/>
      <w:r w:rsidRPr="006F3CC1">
        <w:rPr>
          <w:rFonts w:ascii="Arial" w:hAnsi="Arial" w:cs="Arial"/>
          <w:b/>
          <w:color w:val="000000"/>
          <w:sz w:val="28"/>
          <w:szCs w:val="28"/>
        </w:rPr>
        <w:t>®</w:t>
      </w:r>
      <w:r w:rsidRPr="006F3CC1">
        <w:rPr>
          <w:rFonts w:ascii="Arial" w:hAnsi="Arial" w:cs="Arial"/>
          <w:sz w:val="28"/>
          <w:szCs w:val="28"/>
        </w:rPr>
        <w:t xml:space="preserve">  (</w:t>
      </w:r>
      <w:proofErr w:type="spellStart"/>
      <w:r w:rsidRPr="006F3CC1">
        <w:rPr>
          <w:rFonts w:ascii="Arial" w:hAnsi="Arial" w:cs="Arial"/>
          <w:sz w:val="28"/>
          <w:szCs w:val="28"/>
        </w:rPr>
        <w:t>Ranibizumab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) e o 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Eylea</w:t>
      </w:r>
      <w:proofErr w:type="spellEnd"/>
      <w:r w:rsidRPr="006F3CC1">
        <w:rPr>
          <w:rFonts w:ascii="Arial" w:hAnsi="Arial" w:cs="Arial"/>
          <w:b/>
          <w:color w:val="000000"/>
          <w:sz w:val="28"/>
          <w:szCs w:val="28"/>
        </w:rPr>
        <w:t>®</w:t>
      </w:r>
      <w:r w:rsidRPr="006F3CC1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6F3CC1">
        <w:rPr>
          <w:rFonts w:ascii="Arial" w:hAnsi="Arial" w:cs="Arial"/>
          <w:sz w:val="28"/>
          <w:szCs w:val="28"/>
        </w:rPr>
        <w:t>Aflibercept</w:t>
      </w:r>
      <w:proofErr w:type="spellEnd"/>
      <w:r w:rsidRPr="006F3CC1">
        <w:rPr>
          <w:rFonts w:ascii="Arial" w:hAnsi="Arial" w:cs="Arial"/>
          <w:sz w:val="28"/>
          <w:szCs w:val="28"/>
        </w:rPr>
        <w:t>) e são usados no tratamento de doenças da retina que apresentam:</w:t>
      </w:r>
    </w:p>
    <w:p w14:paraId="372EBE2F" w14:textId="77777777" w:rsidR="00732723" w:rsidRPr="006F3CC1" w:rsidRDefault="00732723" w:rsidP="0073272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membrana </w:t>
      </w:r>
      <w:proofErr w:type="spellStart"/>
      <w:r w:rsidRPr="006F3CC1">
        <w:rPr>
          <w:rFonts w:ascii="Arial" w:hAnsi="Arial" w:cs="Arial"/>
          <w:sz w:val="28"/>
          <w:szCs w:val="28"/>
        </w:rPr>
        <w:t>neovascular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F3CC1">
        <w:rPr>
          <w:rFonts w:ascii="Arial" w:hAnsi="Arial" w:cs="Arial"/>
          <w:sz w:val="28"/>
          <w:szCs w:val="28"/>
        </w:rPr>
        <w:t>sub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ou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-retiniana, nomeadamente em situações associadas a neovascularização com ponto de partida na </w:t>
      </w:r>
      <w:proofErr w:type="spellStart"/>
      <w:r w:rsidRPr="006F3CC1">
        <w:rPr>
          <w:rFonts w:ascii="Arial" w:hAnsi="Arial" w:cs="Arial"/>
          <w:sz w:val="28"/>
          <w:szCs w:val="28"/>
        </w:rPr>
        <w:t>coróide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(por exemplo, </w:t>
      </w:r>
      <w:r w:rsidRPr="006F3CC1">
        <w:rPr>
          <w:rFonts w:ascii="Arial" w:hAnsi="Arial" w:cs="Arial"/>
          <w:b/>
          <w:sz w:val="28"/>
          <w:szCs w:val="28"/>
        </w:rPr>
        <w:t xml:space="preserve">Degenerescência Macular da Idade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Exsudativa</w:t>
      </w:r>
      <w:proofErr w:type="spellEnd"/>
      <w:r w:rsidRPr="006F3CC1">
        <w:rPr>
          <w:rFonts w:ascii="Arial" w:hAnsi="Arial" w:cs="Arial"/>
          <w:sz w:val="28"/>
          <w:szCs w:val="28"/>
        </w:rPr>
        <w:t>);</w:t>
      </w:r>
    </w:p>
    <w:p w14:paraId="1742E9B8" w14:textId="332EE6C9" w:rsidR="00732723" w:rsidRPr="006F3CC1" w:rsidRDefault="00732723" w:rsidP="0073272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neovascularização retiniana, em que vasos sanguíneos anómalos crescem sobre a retina e no disco ótico, e podem também invadir as estruturas do segmento anterior do olho (por exemplo, </w:t>
      </w:r>
      <w:r w:rsidRPr="006F3CC1">
        <w:rPr>
          <w:rFonts w:ascii="Arial" w:hAnsi="Arial" w:cs="Arial"/>
          <w:b/>
          <w:sz w:val="28"/>
          <w:szCs w:val="28"/>
        </w:rPr>
        <w:t xml:space="preserve">Retinopatia Diabética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Proliferativa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, </w:t>
      </w:r>
      <w:r w:rsidR="00ED3B95" w:rsidRPr="006F3CC1">
        <w:rPr>
          <w:rFonts w:ascii="Arial" w:hAnsi="Arial" w:cs="Arial"/>
          <w:b/>
          <w:sz w:val="28"/>
          <w:szCs w:val="28"/>
        </w:rPr>
        <w:t>Oclusão</w:t>
      </w:r>
      <w:r w:rsidRPr="006F3CC1">
        <w:rPr>
          <w:rFonts w:ascii="Arial" w:hAnsi="Arial" w:cs="Arial"/>
          <w:b/>
          <w:sz w:val="28"/>
          <w:szCs w:val="28"/>
        </w:rPr>
        <w:t xml:space="preserve"> Venosa </w:t>
      </w:r>
      <w:r w:rsidR="00ED3B95" w:rsidRPr="006F3CC1">
        <w:rPr>
          <w:rFonts w:ascii="Arial" w:hAnsi="Arial" w:cs="Arial"/>
          <w:b/>
          <w:sz w:val="28"/>
          <w:szCs w:val="28"/>
        </w:rPr>
        <w:t>da Reti</w:t>
      </w:r>
      <w:r w:rsidRPr="006F3CC1">
        <w:rPr>
          <w:rFonts w:ascii="Arial" w:hAnsi="Arial" w:cs="Arial"/>
          <w:b/>
          <w:sz w:val="28"/>
          <w:szCs w:val="28"/>
        </w:rPr>
        <w:t>na</w:t>
      </w:r>
      <w:r w:rsidRPr="006F3CC1">
        <w:rPr>
          <w:rFonts w:ascii="Arial" w:hAnsi="Arial" w:cs="Arial"/>
          <w:sz w:val="28"/>
          <w:szCs w:val="28"/>
        </w:rPr>
        <w:t xml:space="preserve">, </w:t>
      </w:r>
      <w:r w:rsidRPr="006F3CC1">
        <w:rPr>
          <w:rFonts w:ascii="Arial" w:hAnsi="Arial" w:cs="Arial"/>
          <w:b/>
          <w:sz w:val="28"/>
          <w:szCs w:val="28"/>
        </w:rPr>
        <w:t xml:space="preserve">Glaucoma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Neovascular</w:t>
      </w:r>
      <w:proofErr w:type="spellEnd"/>
      <w:r w:rsidRPr="006F3CC1">
        <w:rPr>
          <w:rFonts w:ascii="Arial" w:hAnsi="Arial" w:cs="Arial"/>
          <w:sz w:val="28"/>
          <w:szCs w:val="28"/>
        </w:rPr>
        <w:t>)</w:t>
      </w:r>
      <w:r w:rsidR="00324856" w:rsidRPr="006F3CC1">
        <w:rPr>
          <w:rFonts w:ascii="Arial" w:hAnsi="Arial" w:cs="Arial"/>
          <w:sz w:val="28"/>
          <w:szCs w:val="28"/>
        </w:rPr>
        <w:t>;</w:t>
      </w:r>
    </w:p>
    <w:p w14:paraId="7D0CE6BF" w14:textId="29588450" w:rsidR="00732723" w:rsidRPr="006F3CC1" w:rsidRDefault="00732723" w:rsidP="0073272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edema macular </w:t>
      </w:r>
      <w:r w:rsidR="00453CE9" w:rsidRPr="006F3CC1">
        <w:rPr>
          <w:rFonts w:ascii="Arial" w:hAnsi="Arial" w:cs="Arial"/>
          <w:sz w:val="28"/>
          <w:szCs w:val="28"/>
        </w:rPr>
        <w:t xml:space="preserve">derivado da vasos sanguíneos incontinentes (por exemplo, Retinopatia Diabética </w:t>
      </w:r>
      <w:proofErr w:type="spellStart"/>
      <w:r w:rsidR="00453CE9" w:rsidRPr="006F3CC1">
        <w:rPr>
          <w:rFonts w:ascii="Arial" w:hAnsi="Arial" w:cs="Arial"/>
          <w:sz w:val="28"/>
          <w:szCs w:val="28"/>
        </w:rPr>
        <w:t>Proliferativa</w:t>
      </w:r>
      <w:proofErr w:type="spellEnd"/>
      <w:r w:rsidR="00453CE9" w:rsidRPr="006F3CC1">
        <w:rPr>
          <w:rFonts w:ascii="Arial" w:hAnsi="Arial" w:cs="Arial"/>
          <w:sz w:val="28"/>
          <w:szCs w:val="28"/>
        </w:rPr>
        <w:t xml:space="preserve">, </w:t>
      </w:r>
      <w:r w:rsidR="00ED3B95" w:rsidRPr="006F3CC1">
        <w:rPr>
          <w:rFonts w:ascii="Arial" w:hAnsi="Arial" w:cs="Arial"/>
          <w:sz w:val="28"/>
          <w:szCs w:val="28"/>
        </w:rPr>
        <w:t>Oclusão Venosa da Retina</w:t>
      </w:r>
      <w:r w:rsidR="00453CE9" w:rsidRPr="006F3CC1">
        <w:rPr>
          <w:rFonts w:ascii="Arial" w:hAnsi="Arial" w:cs="Arial"/>
          <w:sz w:val="28"/>
          <w:szCs w:val="28"/>
        </w:rPr>
        <w:t xml:space="preserve">, Degenerescência Macular da Idade </w:t>
      </w:r>
      <w:proofErr w:type="spellStart"/>
      <w:r w:rsidR="00453CE9" w:rsidRPr="006F3CC1">
        <w:rPr>
          <w:rFonts w:ascii="Arial" w:hAnsi="Arial" w:cs="Arial"/>
          <w:sz w:val="28"/>
          <w:szCs w:val="28"/>
        </w:rPr>
        <w:t>Exsudativa</w:t>
      </w:r>
      <w:proofErr w:type="spellEnd"/>
      <w:r w:rsidR="00453CE9" w:rsidRPr="006F3CC1">
        <w:rPr>
          <w:rFonts w:ascii="Arial" w:hAnsi="Arial" w:cs="Arial"/>
          <w:sz w:val="28"/>
          <w:szCs w:val="28"/>
        </w:rPr>
        <w:t>)</w:t>
      </w:r>
      <w:r w:rsidR="00324856" w:rsidRPr="006F3CC1">
        <w:rPr>
          <w:rFonts w:ascii="Arial" w:hAnsi="Arial" w:cs="Arial"/>
          <w:sz w:val="28"/>
          <w:szCs w:val="28"/>
        </w:rPr>
        <w:t>.</w:t>
      </w:r>
    </w:p>
    <w:p w14:paraId="72FD2259" w14:textId="77777777" w:rsidR="00453CE9" w:rsidRPr="006F3CC1" w:rsidRDefault="00453CE9" w:rsidP="00453CE9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741B9F00" w14:textId="77777777" w:rsidR="00ED3B95" w:rsidRPr="006F3CC1" w:rsidRDefault="00ED3B95" w:rsidP="00453CE9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62AFA7C7" w14:textId="77777777" w:rsidR="00453CE9" w:rsidRPr="006F3CC1" w:rsidRDefault="00ED3B95" w:rsidP="00453CE9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TRIAMCINOLONA</w:t>
      </w:r>
    </w:p>
    <w:p w14:paraId="4843C2F8" w14:textId="0907BDCA" w:rsidR="00324856" w:rsidRPr="006F3CC1" w:rsidRDefault="00324856" w:rsidP="00453CE9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lastRenderedPageBreak/>
        <w:t xml:space="preserve">Trata-se de um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corticosteróide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sintético (</w:t>
      </w:r>
      <w:proofErr w:type="spellStart"/>
      <w:r w:rsidRPr="006F3CC1">
        <w:rPr>
          <w:rFonts w:ascii="Arial" w:hAnsi="Arial" w:cs="Arial"/>
          <w:sz w:val="28"/>
          <w:szCs w:val="28"/>
        </w:rPr>
        <w:t>anti-inflamtório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F3CC1">
        <w:rPr>
          <w:rFonts w:ascii="Arial" w:hAnsi="Arial" w:cs="Arial"/>
          <w:sz w:val="28"/>
          <w:szCs w:val="28"/>
        </w:rPr>
        <w:t>esteróide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), que é também usado em injeções </w:t>
      </w:r>
      <w:proofErr w:type="spellStart"/>
      <w:r w:rsidRPr="006F3CC1">
        <w:rPr>
          <w:rFonts w:ascii="Arial" w:hAnsi="Arial" w:cs="Arial"/>
          <w:sz w:val="28"/>
          <w:szCs w:val="28"/>
        </w:rPr>
        <w:t>peri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-oculares. Diversos estudos científicos verificaram que a presença de inflamação é uma das causas de permeabilidade anormal dos vasos sanguíneos afetados pelas doenças retinianas. A </w:t>
      </w:r>
      <w:proofErr w:type="spellStart"/>
      <w:r w:rsidRPr="006F3CC1">
        <w:rPr>
          <w:rFonts w:ascii="Arial" w:hAnsi="Arial" w:cs="Arial"/>
          <w:sz w:val="28"/>
          <w:szCs w:val="28"/>
        </w:rPr>
        <w:t>Trimcinolona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é usada no tratamento de diversas patologias da retina que apresentam:</w:t>
      </w:r>
    </w:p>
    <w:p w14:paraId="4CFFB676" w14:textId="4854CA79" w:rsidR="00324856" w:rsidRPr="006F3CC1" w:rsidRDefault="00324856" w:rsidP="0032485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edema macular derivado da vasos sanguíneos incontinentes (por exemplo, </w:t>
      </w:r>
      <w:r w:rsidRPr="006F3CC1">
        <w:rPr>
          <w:rFonts w:ascii="Arial" w:hAnsi="Arial" w:cs="Arial"/>
          <w:b/>
          <w:sz w:val="28"/>
          <w:szCs w:val="28"/>
        </w:rPr>
        <w:t xml:space="preserve">Retinopatia Diabética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Proliferativa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, </w:t>
      </w:r>
      <w:r w:rsidRPr="006F3CC1">
        <w:rPr>
          <w:rFonts w:ascii="Arial" w:hAnsi="Arial" w:cs="Arial"/>
          <w:b/>
          <w:sz w:val="28"/>
          <w:szCs w:val="28"/>
        </w:rPr>
        <w:t>Oclusão Venosa da Retina</w:t>
      </w:r>
      <w:r w:rsidRPr="006F3CC1">
        <w:rPr>
          <w:rFonts w:ascii="Arial" w:hAnsi="Arial" w:cs="Arial"/>
          <w:sz w:val="28"/>
          <w:szCs w:val="28"/>
        </w:rPr>
        <w:t xml:space="preserve">, Degenerescência Macular da Idade </w:t>
      </w:r>
      <w:proofErr w:type="spellStart"/>
      <w:r w:rsidRPr="006F3CC1">
        <w:rPr>
          <w:rFonts w:ascii="Arial" w:hAnsi="Arial" w:cs="Arial"/>
          <w:sz w:val="28"/>
          <w:szCs w:val="28"/>
        </w:rPr>
        <w:t>Exsudativa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); </w:t>
      </w:r>
    </w:p>
    <w:p w14:paraId="21BEE39E" w14:textId="2B86E021" w:rsidR="00324856" w:rsidRPr="006F3CC1" w:rsidRDefault="00324856" w:rsidP="0032485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membrana </w:t>
      </w:r>
      <w:proofErr w:type="spellStart"/>
      <w:r w:rsidRPr="006F3CC1">
        <w:rPr>
          <w:rFonts w:ascii="Arial" w:hAnsi="Arial" w:cs="Arial"/>
          <w:sz w:val="28"/>
          <w:szCs w:val="28"/>
        </w:rPr>
        <w:t>neovascular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F3CC1">
        <w:rPr>
          <w:rFonts w:ascii="Arial" w:hAnsi="Arial" w:cs="Arial"/>
          <w:sz w:val="28"/>
          <w:szCs w:val="28"/>
        </w:rPr>
        <w:t>sub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ou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-retiniana, nomeadamente em situações associadas a neovascularização com ponto de partida na </w:t>
      </w:r>
      <w:proofErr w:type="spellStart"/>
      <w:r w:rsidRPr="006F3CC1">
        <w:rPr>
          <w:rFonts w:ascii="Arial" w:hAnsi="Arial" w:cs="Arial"/>
          <w:sz w:val="28"/>
          <w:szCs w:val="28"/>
        </w:rPr>
        <w:t>coróide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(por exemplo, </w:t>
      </w:r>
      <w:r w:rsidRPr="006F3CC1">
        <w:rPr>
          <w:rFonts w:ascii="Arial" w:hAnsi="Arial" w:cs="Arial"/>
          <w:b/>
          <w:sz w:val="28"/>
          <w:szCs w:val="28"/>
        </w:rPr>
        <w:t xml:space="preserve">Degenerescência Macular da Idade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Exsudativa</w:t>
      </w:r>
      <w:proofErr w:type="spellEnd"/>
      <w:r w:rsidRPr="006F3CC1">
        <w:rPr>
          <w:rFonts w:ascii="Arial" w:hAnsi="Arial" w:cs="Arial"/>
          <w:sz w:val="28"/>
          <w:szCs w:val="28"/>
        </w:rPr>
        <w:t>).</w:t>
      </w:r>
    </w:p>
    <w:p w14:paraId="49ABF1E5" w14:textId="77777777" w:rsidR="006E63D8" w:rsidRPr="006F3CC1" w:rsidRDefault="006E63D8" w:rsidP="0032485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3961330D" w14:textId="6F908CC8" w:rsidR="006E63D8" w:rsidRPr="006F3CC1" w:rsidRDefault="006E63D8" w:rsidP="0032485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NOVIDADES TERAPÊUTICAS</w:t>
      </w:r>
    </w:p>
    <w:p w14:paraId="1775D60F" w14:textId="77777777" w:rsidR="006E63D8" w:rsidRPr="006F3CC1" w:rsidRDefault="006E63D8" w:rsidP="006E63D8">
      <w:pPr>
        <w:spacing w:line="360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</w:p>
    <w:p w14:paraId="16BBB756" w14:textId="51874D63" w:rsidR="006E63D8" w:rsidRPr="006F3CC1" w:rsidRDefault="006E63D8" w:rsidP="006E63D8">
      <w:pPr>
        <w:spacing w:line="360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OZURDEX</w:t>
      </w:r>
      <w:r w:rsidRPr="006F3CC1">
        <w:rPr>
          <w:rFonts w:ascii="Arial" w:hAnsi="Arial" w:cs="Arial"/>
          <w:b/>
          <w:color w:val="000000"/>
          <w:sz w:val="28"/>
          <w:szCs w:val="28"/>
        </w:rPr>
        <w:t>®</w:t>
      </w:r>
      <w:r w:rsidRPr="006F3CC1">
        <w:rPr>
          <w:rFonts w:ascii="Arial" w:hAnsi="Arial" w:cs="Arial"/>
          <w:b/>
          <w:sz w:val="28"/>
          <w:szCs w:val="28"/>
        </w:rPr>
        <w:t xml:space="preserve"> (implante</w:t>
      </w:r>
      <w:r w:rsidR="00304E95" w:rsidRPr="006F3CC1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304E95" w:rsidRPr="006F3CC1">
        <w:rPr>
          <w:rFonts w:ascii="Arial" w:hAnsi="Arial" w:cs="Arial"/>
          <w:b/>
          <w:sz w:val="28"/>
          <w:szCs w:val="28"/>
        </w:rPr>
        <w:t>intra</w:t>
      </w:r>
      <w:proofErr w:type="spellEnd"/>
      <w:r w:rsidR="00304E95" w:rsidRPr="006F3CC1">
        <w:rPr>
          <w:rFonts w:ascii="Arial" w:hAnsi="Arial" w:cs="Arial"/>
          <w:b/>
          <w:sz w:val="28"/>
          <w:szCs w:val="28"/>
        </w:rPr>
        <w:t xml:space="preserve">-vítreo de </w:t>
      </w:r>
      <w:proofErr w:type="spellStart"/>
      <w:r w:rsidR="00304E95" w:rsidRPr="006F3CC1">
        <w:rPr>
          <w:rFonts w:ascii="Arial" w:hAnsi="Arial" w:cs="Arial"/>
          <w:b/>
          <w:sz w:val="28"/>
          <w:szCs w:val="28"/>
        </w:rPr>
        <w:t>Dexametasona</w:t>
      </w:r>
      <w:proofErr w:type="spellEnd"/>
      <w:r w:rsidRPr="006F3CC1">
        <w:rPr>
          <w:rFonts w:ascii="Arial" w:hAnsi="Arial" w:cs="Arial"/>
          <w:b/>
          <w:sz w:val="28"/>
          <w:szCs w:val="28"/>
        </w:rPr>
        <w:t>)</w:t>
      </w:r>
    </w:p>
    <w:p w14:paraId="4EB0A5CE" w14:textId="77777777" w:rsidR="00304E95" w:rsidRPr="006F3CC1" w:rsidRDefault="00304E95" w:rsidP="006E63D8">
      <w:pPr>
        <w:spacing w:line="360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</w:p>
    <w:p w14:paraId="735EAD82" w14:textId="190CCFBF" w:rsidR="006E63D8" w:rsidRPr="006F3CC1" w:rsidRDefault="00304E95" w:rsidP="002E1E40">
      <w:pPr>
        <w:spacing w:line="36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Tal como a </w:t>
      </w:r>
      <w:proofErr w:type="spellStart"/>
      <w:r w:rsidRPr="006F3CC1">
        <w:rPr>
          <w:rFonts w:ascii="Arial" w:hAnsi="Arial" w:cs="Arial"/>
          <w:sz w:val="28"/>
          <w:szCs w:val="28"/>
        </w:rPr>
        <w:t>Triamcinolona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, a </w:t>
      </w:r>
      <w:proofErr w:type="spellStart"/>
      <w:r w:rsidRPr="006F3CC1">
        <w:rPr>
          <w:rFonts w:ascii="Arial" w:hAnsi="Arial" w:cs="Arial"/>
          <w:sz w:val="28"/>
          <w:szCs w:val="28"/>
        </w:rPr>
        <w:t>Dexametasona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também pertence ao grupo dos </w:t>
      </w:r>
      <w:proofErr w:type="spellStart"/>
      <w:r w:rsidRPr="006F3CC1">
        <w:rPr>
          <w:rFonts w:ascii="Arial" w:hAnsi="Arial" w:cs="Arial"/>
          <w:sz w:val="28"/>
          <w:szCs w:val="28"/>
        </w:rPr>
        <w:t>corticosteróides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. O </w:t>
      </w:r>
      <w:proofErr w:type="spellStart"/>
      <w:r w:rsidRPr="006F3CC1">
        <w:rPr>
          <w:rFonts w:ascii="Arial" w:hAnsi="Arial" w:cs="Arial"/>
          <w:sz w:val="28"/>
          <w:szCs w:val="28"/>
        </w:rPr>
        <w:t>Ozurdex</w:t>
      </w:r>
      <w:proofErr w:type="spellEnd"/>
      <w:r w:rsidRPr="006F3CC1">
        <w:rPr>
          <w:rFonts w:ascii="Arial" w:hAnsi="Arial" w:cs="Arial"/>
          <w:color w:val="000000"/>
          <w:sz w:val="28"/>
          <w:szCs w:val="28"/>
        </w:rPr>
        <w:t xml:space="preserve">® </w:t>
      </w:r>
      <w:r w:rsidRPr="006F3CC1">
        <w:rPr>
          <w:rFonts w:ascii="Arial" w:hAnsi="Arial" w:cs="Arial"/>
          <w:sz w:val="28"/>
          <w:szCs w:val="28"/>
        </w:rPr>
        <w:t xml:space="preserve">é um implante de </w:t>
      </w:r>
      <w:proofErr w:type="spellStart"/>
      <w:r w:rsidRPr="006F3CC1">
        <w:rPr>
          <w:rFonts w:ascii="Arial" w:hAnsi="Arial" w:cs="Arial"/>
          <w:b/>
          <w:sz w:val="28"/>
          <w:szCs w:val="28"/>
        </w:rPr>
        <w:t>Dexametasona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, que é injetável na cavidade vítrea.  Este dispositivo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-vítreo permite a </w:t>
      </w:r>
      <w:r w:rsidRPr="006F3CC1">
        <w:rPr>
          <w:rFonts w:ascii="Arial" w:hAnsi="Arial" w:cs="Arial"/>
          <w:b/>
          <w:sz w:val="28"/>
          <w:szCs w:val="28"/>
        </w:rPr>
        <w:t>libertação lenta</w:t>
      </w:r>
      <w:r w:rsidRPr="006F3CC1">
        <w:rPr>
          <w:rFonts w:ascii="Arial" w:hAnsi="Arial" w:cs="Arial"/>
          <w:sz w:val="28"/>
          <w:szCs w:val="28"/>
        </w:rPr>
        <w:t xml:space="preserve"> do medicamento (duração entre 5 a 6 meses), reduzindo a necessidade de </w:t>
      </w:r>
      <w:proofErr w:type="spellStart"/>
      <w:r w:rsidRPr="006F3CC1">
        <w:rPr>
          <w:rFonts w:ascii="Arial" w:hAnsi="Arial" w:cs="Arial"/>
          <w:sz w:val="28"/>
          <w:szCs w:val="28"/>
        </w:rPr>
        <w:t>re-aplicações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 ou do número de injeções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 xml:space="preserve">-vítreas. Está particularmente indicada em casos de edema macular associado a </w:t>
      </w:r>
      <w:r w:rsidRPr="006F3CC1">
        <w:rPr>
          <w:rFonts w:ascii="Arial" w:hAnsi="Arial" w:cs="Arial"/>
          <w:b/>
          <w:sz w:val="28"/>
          <w:szCs w:val="28"/>
        </w:rPr>
        <w:t>Oclusão Venosa da Retina</w:t>
      </w:r>
      <w:r w:rsidRPr="006F3CC1">
        <w:rPr>
          <w:rFonts w:ascii="Arial" w:hAnsi="Arial" w:cs="Arial"/>
          <w:sz w:val="28"/>
          <w:szCs w:val="28"/>
        </w:rPr>
        <w:t xml:space="preserve"> ou a </w:t>
      </w:r>
      <w:r w:rsidRPr="006F3CC1">
        <w:rPr>
          <w:rFonts w:ascii="Arial" w:hAnsi="Arial" w:cs="Arial"/>
          <w:b/>
          <w:sz w:val="28"/>
          <w:szCs w:val="28"/>
        </w:rPr>
        <w:t>Retinopatia Diabética</w:t>
      </w:r>
      <w:r w:rsidRPr="006F3CC1">
        <w:rPr>
          <w:rFonts w:ascii="Arial" w:hAnsi="Arial" w:cs="Arial"/>
          <w:sz w:val="28"/>
          <w:szCs w:val="28"/>
        </w:rPr>
        <w:t>.</w:t>
      </w:r>
    </w:p>
    <w:p w14:paraId="1B8AA02A" w14:textId="77777777" w:rsidR="002E1E40" w:rsidRPr="006F3CC1" w:rsidRDefault="002E1E40" w:rsidP="002E1E40">
      <w:pPr>
        <w:spacing w:line="36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14:paraId="545AD2C5" w14:textId="41A2AE7D" w:rsidR="006E63D8" w:rsidRPr="006F3CC1" w:rsidRDefault="006E63D8" w:rsidP="002E1E40">
      <w:pPr>
        <w:spacing w:line="360" w:lineRule="auto"/>
        <w:ind w:firstLine="720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JETREA</w:t>
      </w:r>
      <w:r w:rsidR="002E1E40" w:rsidRPr="006F3CC1">
        <w:rPr>
          <w:rFonts w:ascii="Arial" w:hAnsi="Arial" w:cs="Arial"/>
          <w:b/>
          <w:color w:val="000000"/>
          <w:sz w:val="28"/>
          <w:szCs w:val="28"/>
        </w:rPr>
        <w:t>®</w:t>
      </w:r>
      <w:r w:rsidR="002E1E40" w:rsidRPr="006F3CC1">
        <w:rPr>
          <w:rFonts w:ascii="Arial" w:hAnsi="Arial" w:cs="Arial"/>
          <w:b/>
          <w:sz w:val="28"/>
          <w:szCs w:val="28"/>
        </w:rPr>
        <w:t xml:space="preserve"> (</w:t>
      </w:r>
      <w:proofErr w:type="spellStart"/>
      <w:r w:rsidR="002E1E40" w:rsidRPr="006F3CC1">
        <w:rPr>
          <w:rFonts w:ascii="Arial" w:hAnsi="Arial" w:cs="Arial"/>
          <w:b/>
          <w:sz w:val="28"/>
          <w:szCs w:val="28"/>
        </w:rPr>
        <w:t>Ocriplasmina</w:t>
      </w:r>
      <w:proofErr w:type="spellEnd"/>
      <w:r w:rsidR="002E1E40" w:rsidRPr="006F3CC1">
        <w:rPr>
          <w:rFonts w:ascii="Arial" w:hAnsi="Arial" w:cs="Arial"/>
          <w:b/>
          <w:sz w:val="28"/>
          <w:szCs w:val="28"/>
        </w:rPr>
        <w:t>)</w:t>
      </w:r>
    </w:p>
    <w:p w14:paraId="123347EC" w14:textId="11EB0E8A" w:rsidR="006E63D8" w:rsidRPr="006F3CC1" w:rsidRDefault="002E1E40" w:rsidP="00324856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ab/>
        <w:t xml:space="preserve">É um medicamento recentemente apresentado, estando especialmente indicado em casos de </w:t>
      </w:r>
      <w:r w:rsidRPr="006F3CC1">
        <w:rPr>
          <w:rFonts w:ascii="Arial" w:hAnsi="Arial" w:cs="Arial"/>
          <w:b/>
          <w:sz w:val="28"/>
          <w:szCs w:val="28"/>
        </w:rPr>
        <w:t>tração vítreo-macular</w:t>
      </w:r>
      <w:r w:rsidR="008522FA" w:rsidRPr="006F3CC1">
        <w:rPr>
          <w:rFonts w:ascii="Arial" w:hAnsi="Arial" w:cs="Arial"/>
          <w:b/>
          <w:sz w:val="28"/>
          <w:szCs w:val="28"/>
        </w:rPr>
        <w:t>, incluindo os casos associados a buraco macular</w:t>
      </w:r>
      <w:r w:rsidR="008522FA" w:rsidRPr="006F3CC1">
        <w:rPr>
          <w:rFonts w:ascii="Arial" w:hAnsi="Arial" w:cs="Arial"/>
          <w:sz w:val="28"/>
          <w:szCs w:val="28"/>
        </w:rPr>
        <w:t xml:space="preserve"> (com diâmetro menor ou igual a 400 </w:t>
      </w:r>
      <w:proofErr w:type="spellStart"/>
      <w:r w:rsidR="008522FA" w:rsidRPr="006F3CC1">
        <w:rPr>
          <w:rFonts w:ascii="Arial" w:hAnsi="Arial" w:cs="Arial"/>
          <w:sz w:val="28"/>
          <w:szCs w:val="28"/>
        </w:rPr>
        <w:t>micra</w:t>
      </w:r>
      <w:proofErr w:type="spellEnd"/>
      <w:r w:rsidR="008522FA" w:rsidRPr="006F3CC1">
        <w:rPr>
          <w:rFonts w:ascii="Arial" w:hAnsi="Arial" w:cs="Arial"/>
          <w:sz w:val="28"/>
          <w:szCs w:val="28"/>
        </w:rPr>
        <w:t>). Este tratamento tem como objetivo evitar uma cirurgia mais invasiva (</w:t>
      </w:r>
      <w:proofErr w:type="spellStart"/>
      <w:r w:rsidR="008522FA" w:rsidRPr="006F3CC1">
        <w:rPr>
          <w:rFonts w:ascii="Arial" w:hAnsi="Arial" w:cs="Arial"/>
          <w:sz w:val="28"/>
          <w:szCs w:val="28"/>
        </w:rPr>
        <w:t>vitrectomia</w:t>
      </w:r>
      <w:proofErr w:type="spellEnd"/>
      <w:r w:rsidR="008522FA" w:rsidRPr="006F3CC1">
        <w:rPr>
          <w:rFonts w:ascii="Arial" w:hAnsi="Arial" w:cs="Arial"/>
          <w:sz w:val="28"/>
          <w:szCs w:val="28"/>
        </w:rPr>
        <w:t>) para resolver a causa da perda progressiva de visão.</w:t>
      </w:r>
    </w:p>
    <w:p w14:paraId="3B54A596" w14:textId="77777777" w:rsidR="006E63D8" w:rsidRPr="006F3CC1" w:rsidRDefault="006E63D8" w:rsidP="00324856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45885066" w14:textId="437948A3" w:rsidR="00324856" w:rsidRPr="006F3CC1" w:rsidRDefault="00800A28" w:rsidP="00324856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F3CC1">
        <w:rPr>
          <w:rFonts w:ascii="Arial" w:hAnsi="Arial" w:cs="Arial"/>
          <w:b/>
          <w:sz w:val="28"/>
          <w:szCs w:val="28"/>
        </w:rPr>
        <w:t>Em que consiste o procedimento cirúrgico?</w:t>
      </w:r>
    </w:p>
    <w:p w14:paraId="5E63E2DA" w14:textId="1C76D67B" w:rsidR="00800A28" w:rsidRPr="006F3CC1" w:rsidRDefault="00800A28" w:rsidP="00324856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F3CC1">
        <w:rPr>
          <w:rFonts w:ascii="Arial" w:hAnsi="Arial" w:cs="Arial"/>
          <w:sz w:val="28"/>
          <w:szCs w:val="28"/>
        </w:rPr>
        <w:t xml:space="preserve">A injeção </w:t>
      </w:r>
      <w:proofErr w:type="spellStart"/>
      <w:r w:rsidRPr="006F3CC1">
        <w:rPr>
          <w:rFonts w:ascii="Arial" w:hAnsi="Arial" w:cs="Arial"/>
          <w:sz w:val="28"/>
          <w:szCs w:val="28"/>
        </w:rPr>
        <w:t>intra</w:t>
      </w:r>
      <w:proofErr w:type="spellEnd"/>
      <w:r w:rsidRPr="006F3CC1">
        <w:rPr>
          <w:rFonts w:ascii="Arial" w:hAnsi="Arial" w:cs="Arial"/>
          <w:sz w:val="28"/>
          <w:szCs w:val="28"/>
        </w:rPr>
        <w:t>-vítrea é  realizada sob anestesia tópica, sem necessidade d</w:t>
      </w:r>
      <w:r w:rsidR="006F3CC1">
        <w:rPr>
          <w:rFonts w:ascii="Arial" w:hAnsi="Arial" w:cs="Arial"/>
          <w:sz w:val="28"/>
          <w:szCs w:val="28"/>
        </w:rPr>
        <w:t>e internamento. Após a anestesi</w:t>
      </w:r>
      <w:r w:rsidRPr="006F3CC1">
        <w:rPr>
          <w:rFonts w:ascii="Arial" w:hAnsi="Arial" w:cs="Arial"/>
          <w:sz w:val="28"/>
          <w:szCs w:val="28"/>
        </w:rPr>
        <w:t xml:space="preserve">a e as medidas de </w:t>
      </w:r>
      <w:r w:rsidR="006F3CC1" w:rsidRPr="006F3CC1">
        <w:rPr>
          <w:rFonts w:ascii="Arial" w:hAnsi="Arial" w:cs="Arial"/>
          <w:sz w:val="28"/>
          <w:szCs w:val="28"/>
        </w:rPr>
        <w:t>assepsia</w:t>
      </w:r>
      <w:bookmarkStart w:id="0" w:name="_GoBack"/>
      <w:bookmarkEnd w:id="0"/>
      <w:r w:rsidRPr="006F3CC1">
        <w:rPr>
          <w:rFonts w:ascii="Arial" w:hAnsi="Arial" w:cs="Arial"/>
          <w:sz w:val="28"/>
          <w:szCs w:val="28"/>
        </w:rPr>
        <w:t>, o medicamento é injetado dentro do olho, na cavidade vítrea. Pode haver a necessidade de novos tratamentos, conforme a evolução da doença.</w:t>
      </w:r>
    </w:p>
    <w:sectPr w:rsidR="00800A28" w:rsidRPr="006F3CC1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829AC"/>
    <w:multiLevelType w:val="hybridMultilevel"/>
    <w:tmpl w:val="B11E6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675A7D"/>
    <w:multiLevelType w:val="hybridMultilevel"/>
    <w:tmpl w:val="93C4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723"/>
    <w:rsid w:val="002E1E40"/>
    <w:rsid w:val="00304E95"/>
    <w:rsid w:val="00324856"/>
    <w:rsid w:val="00453CE9"/>
    <w:rsid w:val="006E63D8"/>
    <w:rsid w:val="006F3CC1"/>
    <w:rsid w:val="00732723"/>
    <w:rsid w:val="007A16E5"/>
    <w:rsid w:val="00800A28"/>
    <w:rsid w:val="008522FA"/>
    <w:rsid w:val="00BC5BBC"/>
    <w:rsid w:val="00ED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415B0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7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480</Words>
  <Characters>2737</Characters>
  <Application>Microsoft Macintosh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6</cp:revision>
  <dcterms:created xsi:type="dcterms:W3CDTF">2014-08-06T13:32:00Z</dcterms:created>
  <dcterms:modified xsi:type="dcterms:W3CDTF">2014-08-10T08:42:00Z</dcterms:modified>
</cp:coreProperties>
</file>